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B2B12" w14:textId="752F8D35" w:rsidR="00C94851" w:rsidRPr="00361F71" w:rsidRDefault="00122453" w:rsidP="00C94851">
      <w:pPr>
        <w:rPr>
          <w:b/>
          <w:bCs/>
          <w:u w:val="single"/>
        </w:rPr>
      </w:pPr>
      <w:r w:rsidRPr="00361F71">
        <w:rPr>
          <w:b/>
          <w:bCs/>
          <w:u w:val="single"/>
        </w:rPr>
        <w:t>Commercial principles for data-enabled research and innovation partnerships in the NHS</w:t>
      </w:r>
      <w:r w:rsidR="00361F71" w:rsidRPr="00361F71">
        <w:rPr>
          <w:b/>
          <w:bCs/>
          <w:u w:val="single"/>
        </w:rPr>
        <w:t xml:space="preserve"> </w:t>
      </w:r>
      <w:r w:rsidR="00361F71">
        <w:rPr>
          <w:b/>
          <w:bCs/>
          <w:u w:val="single"/>
        </w:rPr>
        <w:t xml:space="preserve">(October 2026) </w:t>
      </w:r>
      <w:r w:rsidR="00361F71" w:rsidRPr="00361F71">
        <w:rPr>
          <w:b/>
          <w:bCs/>
          <w:u w:val="single"/>
        </w:rPr>
        <w:t xml:space="preserve">- </w:t>
      </w:r>
      <w:r w:rsidR="00C94851" w:rsidRPr="00361F71">
        <w:rPr>
          <w:b/>
          <w:bCs/>
          <w:u w:val="single"/>
        </w:rPr>
        <w:t>Frequently Asked Questions (FAQ)</w:t>
      </w:r>
    </w:p>
    <w:p w14:paraId="6A8FBE9D" w14:textId="27907856" w:rsidR="00C94851" w:rsidRPr="00C94851" w:rsidRDefault="00C94851" w:rsidP="00C94851">
      <w:pPr>
        <w:rPr>
          <w:b/>
          <w:bCs/>
          <w:u w:val="single"/>
        </w:rPr>
      </w:pPr>
      <w:r w:rsidRPr="00C94851">
        <w:rPr>
          <w:b/>
          <w:bCs/>
          <w:u w:val="single"/>
        </w:rPr>
        <w:t>For NHS staff</w:t>
      </w:r>
    </w:p>
    <w:p w14:paraId="4689B712" w14:textId="77777777" w:rsidR="00122453" w:rsidRPr="00122453" w:rsidRDefault="00122453" w:rsidP="00122453">
      <w:pPr>
        <w:rPr>
          <w:b/>
          <w:bCs/>
        </w:rPr>
      </w:pPr>
      <w:r w:rsidRPr="00122453">
        <w:rPr>
          <w:b/>
          <w:bCs/>
        </w:rPr>
        <w:t>1. Why has this guidance been developed?</w:t>
      </w:r>
    </w:p>
    <w:p w14:paraId="2C40F9F8" w14:textId="42851570" w:rsidR="00122453" w:rsidRPr="00122453" w:rsidRDefault="00122453" w:rsidP="00122453">
      <w:r w:rsidRPr="00122453">
        <w:t xml:space="preserve">The </w:t>
      </w:r>
      <w:r w:rsidR="00361F71" w:rsidRPr="00122453">
        <w:t>N</w:t>
      </w:r>
      <w:r w:rsidR="00361F71">
        <w:t>orthern Health Science Alliance (N</w:t>
      </w:r>
      <w:r w:rsidRPr="00122453">
        <w:t>HSA</w:t>
      </w:r>
      <w:r w:rsidR="00361F71">
        <w:t>)</w:t>
      </w:r>
      <w:r w:rsidRPr="00122453">
        <w:t xml:space="preserve"> working group developed this guidance to support NHS organisations in responding consistently, transparently and sustainably to commercial requests involving NHS data. It provides a practical framework to help organisations identify the activities, resources and costs involved in data-enabled research and innovation projects, while recognising that pricing and approval decisions remain local responsibilities. </w:t>
      </w:r>
    </w:p>
    <w:p w14:paraId="6278EA9A" w14:textId="77777777" w:rsidR="00122453" w:rsidRPr="00122453" w:rsidRDefault="00122453" w:rsidP="00122453">
      <w:pPr>
        <w:rPr>
          <w:b/>
          <w:bCs/>
        </w:rPr>
      </w:pPr>
      <w:r w:rsidRPr="00122453">
        <w:rPr>
          <w:b/>
          <w:bCs/>
        </w:rPr>
        <w:t>2. Does this guidance set national prices or tariffs?</w:t>
      </w:r>
    </w:p>
    <w:p w14:paraId="53CD1433" w14:textId="3B2FCDDD" w:rsidR="00122453" w:rsidRPr="00122453" w:rsidRDefault="00122453" w:rsidP="00122453">
      <w:r w:rsidRPr="00122453">
        <w:t xml:space="preserve">No. The guidance does not prescribe prices, tariffs or commercial terms. Instead, it outlines the principles, processes and cost components that organisations should consider when costing projects involving NHS data. Local organisations remain responsible for determining appropriate charges and approval processes. </w:t>
      </w:r>
    </w:p>
    <w:p w14:paraId="1C683D8E" w14:textId="77777777" w:rsidR="00122453" w:rsidRPr="00122453" w:rsidRDefault="00122453" w:rsidP="00122453">
      <w:pPr>
        <w:rPr>
          <w:b/>
          <w:bCs/>
        </w:rPr>
      </w:pPr>
      <w:r w:rsidRPr="00122453">
        <w:rPr>
          <w:b/>
          <w:bCs/>
        </w:rPr>
        <w:t>3. What is meant by a data-enabled research and innovation partnership?</w:t>
      </w:r>
    </w:p>
    <w:p w14:paraId="660E3525" w14:textId="33F9600B" w:rsidR="00122453" w:rsidRPr="00122453" w:rsidRDefault="00122453" w:rsidP="00122453">
      <w:r w:rsidRPr="00122453">
        <w:t xml:space="preserve">A data-enabled partnership is a collaboration in which an external organisation is granted controlled access to healthcare data, expertise, infrastructure or analytical services for a defined purpose that aims to improve health, healthcare delivery, research or innovation. Such partnerships may support research, diagnostics, digital technologies, service improvement, drug development or evaluation activities. </w:t>
      </w:r>
    </w:p>
    <w:p w14:paraId="5634FC82" w14:textId="77777777" w:rsidR="00122453" w:rsidRPr="00122453" w:rsidRDefault="00122453" w:rsidP="00122453">
      <w:pPr>
        <w:rPr>
          <w:b/>
          <w:bCs/>
        </w:rPr>
      </w:pPr>
      <w:r w:rsidRPr="00122453">
        <w:rPr>
          <w:b/>
          <w:bCs/>
        </w:rPr>
        <w:t>4. Why are NHS organisations sometimes asked to provide data to external organisations?</w:t>
      </w:r>
    </w:p>
    <w:p w14:paraId="49C7DE25" w14:textId="1F147C25" w:rsidR="00122453" w:rsidRPr="00122453" w:rsidRDefault="00122453" w:rsidP="00122453">
      <w:r w:rsidRPr="00122453">
        <w:t>Healthcare data can help improve care pathways, support research, evaluate technologies, develop new treatments and generate evidence that benefits patients and the NHS. Carefully governed partnerships can also improve the quality, organisation and usability of NHS data</w:t>
      </w:r>
      <w:r w:rsidR="00C94851">
        <w:t>.</w:t>
      </w:r>
    </w:p>
    <w:p w14:paraId="48E2AE7C" w14:textId="77777777" w:rsidR="00122453" w:rsidRPr="00122453" w:rsidRDefault="00122453" w:rsidP="00122453">
      <w:pPr>
        <w:rPr>
          <w:b/>
          <w:bCs/>
        </w:rPr>
      </w:pPr>
      <w:r w:rsidRPr="00122453">
        <w:rPr>
          <w:b/>
          <w:bCs/>
        </w:rPr>
        <w:t>5. Is NHS patient data being sold?</w:t>
      </w:r>
    </w:p>
    <w:p w14:paraId="3B4CB106" w14:textId="25B17EA0" w:rsidR="00122453" w:rsidRPr="00122453" w:rsidRDefault="00122453" w:rsidP="00122453">
      <w:r w:rsidRPr="00122453">
        <w:t>No. NHS organisations do not "sell data". Access is only considered for a defined purpose and must be supported by appropriate governance, legal, ethical and security arrangements. The guidance focuses on recovering the costs associated with delivering projects and ensuring that NHS organisations recognise the value of the assets, expertise and infrastructure they contribute.</w:t>
      </w:r>
      <w:r w:rsidR="00C94851" w:rsidRPr="00122453">
        <w:t xml:space="preserve"> </w:t>
      </w:r>
    </w:p>
    <w:p w14:paraId="37A99C64" w14:textId="77777777" w:rsidR="00122453" w:rsidRPr="00122453" w:rsidRDefault="00122453" w:rsidP="00122453">
      <w:pPr>
        <w:rPr>
          <w:b/>
          <w:bCs/>
        </w:rPr>
      </w:pPr>
      <w:r w:rsidRPr="00122453">
        <w:rPr>
          <w:b/>
          <w:bCs/>
        </w:rPr>
        <w:t>6. Why should commercial organisations be charged?</w:t>
      </w:r>
    </w:p>
    <w:p w14:paraId="00E18CE3" w14:textId="64D84846" w:rsidR="00122453" w:rsidRPr="00122453" w:rsidRDefault="00122453" w:rsidP="00122453">
      <w:r w:rsidRPr="00122453">
        <w:lastRenderedPageBreak/>
        <w:t xml:space="preserve">Commercial projects often require significant NHS staff time, governance activity, specialist expertise, infrastructure, technical support, project management and other resources. The guidance recommends that these costs are recognised and recovered so that commercial activity is not inadvertently subsidised by the NHS. </w:t>
      </w:r>
    </w:p>
    <w:p w14:paraId="1267A601" w14:textId="77777777" w:rsidR="00122453" w:rsidRPr="00122453" w:rsidRDefault="00122453" w:rsidP="00122453">
      <w:pPr>
        <w:rPr>
          <w:b/>
          <w:bCs/>
        </w:rPr>
      </w:pPr>
      <w:r w:rsidRPr="00122453">
        <w:rPr>
          <w:b/>
          <w:bCs/>
        </w:rPr>
        <w:t>7. What does "full cost recovery" mean?</w:t>
      </w:r>
    </w:p>
    <w:p w14:paraId="2D5836E7" w14:textId="0527D9B9" w:rsidR="00122453" w:rsidRPr="00122453" w:rsidRDefault="00122453" w:rsidP="00122453">
      <w:r w:rsidRPr="00122453">
        <w:t xml:space="preserve">Full cost recovery means identifying and recovering all relevant costs associated with delivering a project. These may include staff time, governance and compliance activities, technical setup, infrastructure, information governance review, public involvement, project management, specialist expertise and organisational overheads. </w:t>
      </w:r>
    </w:p>
    <w:p w14:paraId="0727B3B6" w14:textId="77777777" w:rsidR="00122453" w:rsidRPr="00122453" w:rsidRDefault="00122453" w:rsidP="00122453">
      <w:pPr>
        <w:rPr>
          <w:b/>
          <w:bCs/>
        </w:rPr>
      </w:pPr>
      <w:r w:rsidRPr="00122453">
        <w:rPr>
          <w:b/>
          <w:bCs/>
        </w:rPr>
        <w:t>8. Does patient benefit remain the most important consideration?</w:t>
      </w:r>
    </w:p>
    <w:p w14:paraId="1925F38F" w14:textId="7B6FA55D" w:rsidR="00122453" w:rsidRPr="00122453" w:rsidRDefault="00122453" w:rsidP="00122453">
      <w:r w:rsidRPr="00122453">
        <w:t xml:space="preserve">Yes. The guidance emphasises that patient benefit, public benefit and NHS operational benefit should remain the primary consideration when evaluating data-enabled projects. Access to NHS data should support improvements in health, healthcare or NHS services. </w:t>
      </w:r>
    </w:p>
    <w:p w14:paraId="18A7433F" w14:textId="77777777" w:rsidR="00122453" w:rsidRPr="00122453" w:rsidRDefault="00122453" w:rsidP="00122453">
      <w:pPr>
        <w:rPr>
          <w:b/>
          <w:bCs/>
        </w:rPr>
      </w:pPr>
      <w:r w:rsidRPr="00122453">
        <w:rPr>
          <w:b/>
          <w:bCs/>
        </w:rPr>
        <w:t>9. Are commercial and academic projects treated differently?</w:t>
      </w:r>
    </w:p>
    <w:p w14:paraId="63CB7B49" w14:textId="54DE9E67" w:rsidR="00122453" w:rsidRPr="00122453" w:rsidRDefault="00122453" w:rsidP="00122453">
      <w:r w:rsidRPr="00122453">
        <w:t xml:space="preserve">They may be. NHS organisations may apply different charging approaches depending on the nature of the project, the source of funding, the customer relationship and local policies. However, the principle of understanding and appropriately recovering costs applies across all externally supported activity. </w:t>
      </w:r>
    </w:p>
    <w:p w14:paraId="57C8A800" w14:textId="77777777" w:rsidR="00122453" w:rsidRPr="00122453" w:rsidRDefault="00122453" w:rsidP="00122453">
      <w:pPr>
        <w:rPr>
          <w:b/>
          <w:bCs/>
        </w:rPr>
      </w:pPr>
      <w:r w:rsidRPr="00122453">
        <w:rPr>
          <w:b/>
          <w:bCs/>
        </w:rPr>
        <w:t>10. What is feasibility work and why might it be charged for?</w:t>
      </w:r>
    </w:p>
    <w:p w14:paraId="47E1FC37" w14:textId="0FF212E1" w:rsidR="00122453" w:rsidRDefault="00122453" w:rsidP="00122453">
      <w:r w:rsidRPr="00122453">
        <w:t xml:space="preserve">Feasibility work is often the first stage of a project and may involve assessing data availability, cohort size, inclusion criteria, technical requirements, methodology and governance considerations. This work can require substantial effort and may occur even if a project does not subsequently proceed. For this reason, the guidance recommends that feasibility is recognised as a legitimate and potentially chargeable stage. </w:t>
      </w:r>
    </w:p>
    <w:p w14:paraId="407E1308" w14:textId="3FACE296" w:rsidR="00C94851" w:rsidRPr="00C94851" w:rsidRDefault="00C94851" w:rsidP="00122453">
      <w:pPr>
        <w:rPr>
          <w:b/>
          <w:bCs/>
          <w:u w:val="single"/>
        </w:rPr>
      </w:pPr>
      <w:r w:rsidRPr="00C94851">
        <w:rPr>
          <w:b/>
          <w:bCs/>
          <w:u w:val="single"/>
        </w:rPr>
        <w:t xml:space="preserve">For researchers and industry partners </w:t>
      </w:r>
    </w:p>
    <w:p w14:paraId="5D253332" w14:textId="3F2318E0" w:rsidR="00122453" w:rsidRPr="00122453" w:rsidRDefault="00122453" w:rsidP="00122453">
      <w:pPr>
        <w:rPr>
          <w:b/>
          <w:bCs/>
        </w:rPr>
      </w:pPr>
      <w:r w:rsidRPr="00122453">
        <w:rPr>
          <w:b/>
          <w:bCs/>
        </w:rPr>
        <w:t>11. How is patient confidentiality protected?</w:t>
      </w:r>
    </w:p>
    <w:p w14:paraId="7729E42C" w14:textId="78FFFF4D" w:rsidR="00122453" w:rsidRPr="00122453" w:rsidRDefault="00122453" w:rsidP="00122453">
      <w:r w:rsidRPr="00122453">
        <w:t>Any information that could directly identify an individual is removed before data are made available outside NHS systems, unless a patient has explicitly consented to identifiable data sharing. Appropriate governance, security and access controls must be applied before any access is granted</w:t>
      </w:r>
      <w:r w:rsidR="00C94851">
        <w:t>.</w:t>
      </w:r>
    </w:p>
    <w:p w14:paraId="6F11EC30" w14:textId="77777777" w:rsidR="00122453" w:rsidRPr="00122453" w:rsidRDefault="00122453" w:rsidP="00122453">
      <w:pPr>
        <w:rPr>
          <w:b/>
          <w:bCs/>
        </w:rPr>
      </w:pPr>
      <w:r w:rsidRPr="00122453">
        <w:rPr>
          <w:b/>
          <w:bCs/>
        </w:rPr>
        <w:t>12. What is the difference between anonymised, pseudonymised and synthetic data?</w:t>
      </w:r>
    </w:p>
    <w:p w14:paraId="1D9EDC7C" w14:textId="4E111B2C" w:rsidR="00122453" w:rsidRPr="00122453" w:rsidRDefault="00122453" w:rsidP="00122453">
      <w:r w:rsidRPr="00122453">
        <w:rPr>
          <w:b/>
          <w:bCs/>
        </w:rPr>
        <w:t>Anonymised data</w:t>
      </w:r>
      <w:r w:rsidRPr="00122453">
        <w:t xml:space="preserve"> ha</w:t>
      </w:r>
      <w:r w:rsidR="00497D96">
        <w:t>ve</w:t>
      </w:r>
      <w:r w:rsidRPr="00122453">
        <w:t xml:space="preserve"> been processed so that individuals can no longer be identified.</w:t>
      </w:r>
    </w:p>
    <w:p w14:paraId="727D3C03" w14:textId="6A6F297C" w:rsidR="00122453" w:rsidRPr="00122453" w:rsidRDefault="00122453" w:rsidP="00122453">
      <w:r w:rsidRPr="00122453">
        <w:rPr>
          <w:b/>
          <w:bCs/>
        </w:rPr>
        <w:lastRenderedPageBreak/>
        <w:t>Pseudonymised data</w:t>
      </w:r>
      <w:r w:rsidRPr="00122453">
        <w:t xml:space="preserve"> replace identifiers with coded values, allowing re-identification only under controlled circumstances and by authorised parties.</w:t>
      </w:r>
    </w:p>
    <w:p w14:paraId="49743D6B" w14:textId="64D0A39E" w:rsidR="00122453" w:rsidRPr="00122453" w:rsidRDefault="00122453" w:rsidP="00122453">
      <w:r w:rsidRPr="00122453">
        <w:rPr>
          <w:b/>
          <w:bCs/>
        </w:rPr>
        <w:t>Synthetic data</w:t>
      </w:r>
      <w:r w:rsidRPr="00122453">
        <w:t xml:space="preserve"> </w:t>
      </w:r>
      <w:r w:rsidR="00587AEB">
        <w:t>are</w:t>
      </w:r>
      <w:r w:rsidRPr="00122453">
        <w:t xml:space="preserve"> computer-generated data designed to mimic real-world patterns without containing real patient records. </w:t>
      </w:r>
    </w:p>
    <w:p w14:paraId="3FEF063C" w14:textId="77777777" w:rsidR="00122453" w:rsidRPr="00122453" w:rsidRDefault="00122453" w:rsidP="00122453">
      <w:pPr>
        <w:rPr>
          <w:b/>
          <w:bCs/>
        </w:rPr>
      </w:pPr>
      <w:r w:rsidRPr="00122453">
        <w:rPr>
          <w:b/>
          <w:bCs/>
        </w:rPr>
        <w:t>13. Can NHS staff share data directly with a company or researcher?</w:t>
      </w:r>
    </w:p>
    <w:p w14:paraId="4FCF0EC7" w14:textId="080005D8" w:rsidR="00122453" w:rsidRPr="00122453" w:rsidRDefault="00122453" w:rsidP="00122453">
      <w:r w:rsidRPr="00122453">
        <w:t xml:space="preserve">No. Requests for access to NHS data should always follow established governance and approval processes. Staff should not share data informally with external organisations. Requests should be reviewed through the appropriate organisational governance routes. </w:t>
      </w:r>
    </w:p>
    <w:p w14:paraId="47B4C784" w14:textId="77777777" w:rsidR="00122453" w:rsidRPr="00122453" w:rsidRDefault="00122453" w:rsidP="00122453">
      <w:pPr>
        <w:rPr>
          <w:b/>
          <w:bCs/>
        </w:rPr>
      </w:pPr>
      <w:r w:rsidRPr="00122453">
        <w:rPr>
          <w:b/>
          <w:bCs/>
        </w:rPr>
        <w:t>14. How is data stored and accessed?</w:t>
      </w:r>
    </w:p>
    <w:p w14:paraId="7D56E885" w14:textId="03ECD77C" w:rsidR="00122453" w:rsidRPr="00122453" w:rsidRDefault="00122453" w:rsidP="00122453">
      <w:r w:rsidRPr="00122453">
        <w:t xml:space="preserve">Data should be held within secure environments that meet required information governance and cyber security standards. Access should only be provided to authorised individuals for approved purposes and should be subject to monitoring and audit arrangements. </w:t>
      </w:r>
    </w:p>
    <w:p w14:paraId="00ADC392" w14:textId="77777777" w:rsidR="00122453" w:rsidRPr="00122453" w:rsidRDefault="00122453" w:rsidP="00122453">
      <w:pPr>
        <w:rPr>
          <w:b/>
          <w:bCs/>
        </w:rPr>
      </w:pPr>
      <w:r w:rsidRPr="00122453">
        <w:rPr>
          <w:b/>
          <w:bCs/>
        </w:rPr>
        <w:t>15. What are Secure Data Environments (SDEs) and Trusted Research Environments (TREs)?</w:t>
      </w:r>
    </w:p>
    <w:p w14:paraId="253477E1" w14:textId="30136360" w:rsidR="00122453" w:rsidRPr="00122453" w:rsidRDefault="00122453" w:rsidP="00122453">
      <w:r w:rsidRPr="00122453">
        <w:t xml:space="preserve">SDEs and TREs are secure platforms that enable approved users to access and analyse health data within controlled environments. They provide safeguards such as access controls, monitoring, auditing and governance processes that help protect patient information while enabling research and innovation. </w:t>
      </w:r>
    </w:p>
    <w:p w14:paraId="1E3BB6FA" w14:textId="77777777" w:rsidR="00122453" w:rsidRPr="00122453" w:rsidRDefault="00122453" w:rsidP="00122453">
      <w:pPr>
        <w:rPr>
          <w:b/>
          <w:bCs/>
        </w:rPr>
      </w:pPr>
      <w:r w:rsidRPr="00122453">
        <w:rPr>
          <w:b/>
          <w:bCs/>
        </w:rPr>
        <w:t>16. What is meant by "fair value" for NHS data?</w:t>
      </w:r>
    </w:p>
    <w:p w14:paraId="73E762BE" w14:textId="67F4CB4D" w:rsidR="00122453" w:rsidRPr="00122453" w:rsidRDefault="00122453" w:rsidP="00122453">
      <w:r w:rsidRPr="00122453">
        <w:t>The guidance distinguishes between the cost of delivering a project and the value contributed by NHS data, expertise, clinical knowledge, infrastructure and public trust. NHS organisations should understand both dimensions when negotiating commercial arrangements</w:t>
      </w:r>
      <w:r w:rsidR="00C94851">
        <w:t>.</w:t>
      </w:r>
    </w:p>
    <w:p w14:paraId="12987007" w14:textId="77777777" w:rsidR="00122453" w:rsidRPr="00122453" w:rsidRDefault="00122453" w:rsidP="00122453">
      <w:pPr>
        <w:rPr>
          <w:b/>
          <w:bCs/>
        </w:rPr>
      </w:pPr>
      <w:r w:rsidRPr="00122453">
        <w:rPr>
          <w:b/>
          <w:bCs/>
        </w:rPr>
        <w:t>17. What are benefit-sharing arrangements?</w:t>
      </w:r>
    </w:p>
    <w:p w14:paraId="7D0E7C87" w14:textId="63B4AA3A" w:rsidR="00122453" w:rsidRPr="00122453" w:rsidRDefault="00122453" w:rsidP="00122453">
      <w:r w:rsidRPr="00122453">
        <w:t>Benefit-sharing arrangements are mechanisms through which NHS organisations may receive additional value beyond direct cost recovery. Examples can include revenue sharing, royalties, milestone payments, licensing arrangements or other approaches agreed within contracts</w:t>
      </w:r>
      <w:r w:rsidR="00C94851">
        <w:t>.</w:t>
      </w:r>
    </w:p>
    <w:p w14:paraId="4B88459D" w14:textId="77777777" w:rsidR="00122453" w:rsidRPr="00122453" w:rsidRDefault="00122453" w:rsidP="00122453">
      <w:pPr>
        <w:rPr>
          <w:b/>
          <w:bCs/>
        </w:rPr>
      </w:pPr>
      <w:r w:rsidRPr="00122453">
        <w:rPr>
          <w:b/>
          <w:bCs/>
        </w:rPr>
        <w:t>18. Why is transparency important?</w:t>
      </w:r>
    </w:p>
    <w:p w14:paraId="45E3856E" w14:textId="2855703A" w:rsidR="00122453" w:rsidRPr="00122453" w:rsidRDefault="00122453" w:rsidP="00122453">
      <w:r w:rsidRPr="00122453">
        <w:t>Transparency helps maintain public trust and provides assurance that NHS data are being used appropriately. The guidance recommends clear communication regarding project purpose, governance, approvals, access arrangements, costing assumptions and benefit-sharing mechanisms</w:t>
      </w:r>
      <w:r w:rsidR="00C94851">
        <w:t>.</w:t>
      </w:r>
    </w:p>
    <w:p w14:paraId="64654B36" w14:textId="77777777" w:rsidR="00122453" w:rsidRPr="00122453" w:rsidRDefault="00122453" w:rsidP="00122453">
      <w:pPr>
        <w:rPr>
          <w:b/>
          <w:bCs/>
        </w:rPr>
      </w:pPr>
      <w:r w:rsidRPr="00122453">
        <w:rPr>
          <w:b/>
          <w:bCs/>
        </w:rPr>
        <w:lastRenderedPageBreak/>
        <w:t>19. How are multi-organisation projects managed?</w:t>
      </w:r>
    </w:p>
    <w:p w14:paraId="1D0339E6" w14:textId="70BF2EEB" w:rsidR="00122453" w:rsidRDefault="00122453" w:rsidP="00122453">
      <w:r w:rsidRPr="00122453">
        <w:t xml:space="preserve">For projects involving multiple NHS organisations, each organisation should cost its own contribution, while partners work together to provide a coordinated sponsor-facing approach. Responsibilities, governance arrangements, technical delivery models and coordination activities should be clearly defined. </w:t>
      </w:r>
    </w:p>
    <w:p w14:paraId="3AD4E720" w14:textId="14B38C6C" w:rsidR="00C94851" w:rsidRPr="00C94851" w:rsidRDefault="00C94851" w:rsidP="00122453">
      <w:pPr>
        <w:rPr>
          <w:u w:val="single"/>
        </w:rPr>
      </w:pPr>
      <w:r w:rsidRPr="00C94851">
        <w:rPr>
          <w:b/>
          <w:bCs/>
          <w:u w:val="single"/>
        </w:rPr>
        <w:t>For patients and the public</w:t>
      </w:r>
    </w:p>
    <w:p w14:paraId="2F0F17F6" w14:textId="77777777" w:rsidR="00122453" w:rsidRPr="00122453" w:rsidRDefault="00122453" w:rsidP="00122453">
      <w:pPr>
        <w:rPr>
          <w:b/>
          <w:bCs/>
        </w:rPr>
      </w:pPr>
      <w:r w:rsidRPr="00122453">
        <w:rPr>
          <w:b/>
          <w:bCs/>
        </w:rPr>
        <w:t>20. How is patient and public involvement reflected in these projects?</w:t>
      </w:r>
    </w:p>
    <w:p w14:paraId="71170F6E" w14:textId="471EBDE3" w:rsidR="00122453" w:rsidRPr="00122453" w:rsidRDefault="00122453" w:rsidP="00122453">
      <w:r w:rsidRPr="00122453">
        <w:t xml:space="preserve">Many organisations involve patients, public contributors or Data Trust Committees in reviewing proposed uses of data. Associated activities may include public involvement sessions, lay review processes, advisory input and committee oversight to help ensure projects remain aligned with public expectations and NHS values. </w:t>
      </w:r>
    </w:p>
    <w:p w14:paraId="57C0AB9B" w14:textId="77777777" w:rsidR="00122453" w:rsidRPr="00122453" w:rsidRDefault="00122453" w:rsidP="00122453">
      <w:pPr>
        <w:rPr>
          <w:b/>
          <w:bCs/>
        </w:rPr>
      </w:pPr>
      <w:r w:rsidRPr="00122453">
        <w:rPr>
          <w:b/>
          <w:bCs/>
        </w:rPr>
        <w:t>21. Can patients opt out of their data being used for research?</w:t>
      </w:r>
    </w:p>
    <w:p w14:paraId="15844702" w14:textId="7A881AF9" w:rsidR="00122453" w:rsidRPr="00122453" w:rsidRDefault="00122453" w:rsidP="00122453">
      <w:r w:rsidRPr="00122453">
        <w:t>Patients can exercise their choices through established NHS data opt-out mechanisms where applicable. Organisations should ensure that any use of data complies with relevant legal, ethical and governance requirements</w:t>
      </w:r>
      <w:r w:rsidR="00C94851">
        <w:t>.</w:t>
      </w:r>
    </w:p>
    <w:p w14:paraId="62A160BC" w14:textId="77777777" w:rsidR="00122453" w:rsidRPr="00122453" w:rsidRDefault="00122453" w:rsidP="00122453">
      <w:pPr>
        <w:rPr>
          <w:b/>
          <w:bCs/>
        </w:rPr>
      </w:pPr>
      <w:r w:rsidRPr="00122453">
        <w:rPr>
          <w:b/>
          <w:bCs/>
        </w:rPr>
        <w:t>22. What happens to income generated through data-enabled partnerships?</w:t>
      </w:r>
    </w:p>
    <w:p w14:paraId="6408F113" w14:textId="527FB2ED" w:rsidR="00122453" w:rsidRPr="00122453" w:rsidRDefault="00122453" w:rsidP="00122453">
      <w:r w:rsidRPr="00122453">
        <w:t xml:space="preserve">Any financial returns should be managed in accordance with local NHS policies and governance arrangements. The guidance emphasises that the NHS should receive fair value from its contribution while maintaining its core focus on patient and public benefit. </w:t>
      </w:r>
    </w:p>
    <w:p w14:paraId="39FE7964" w14:textId="77777777" w:rsidR="00122453" w:rsidRPr="00122453" w:rsidRDefault="00122453" w:rsidP="00122453">
      <w:pPr>
        <w:rPr>
          <w:b/>
          <w:bCs/>
        </w:rPr>
      </w:pPr>
      <w:r w:rsidRPr="00122453">
        <w:rPr>
          <w:b/>
          <w:bCs/>
        </w:rPr>
        <w:t>23. Is this guidance intended to replace local governance processes?</w:t>
      </w:r>
    </w:p>
    <w:p w14:paraId="7283CFE3" w14:textId="1F4CA476" w:rsidR="00122453" w:rsidRPr="00122453" w:rsidRDefault="00122453" w:rsidP="00122453">
      <w:r w:rsidRPr="00122453">
        <w:t>No. The guidance is designed to complement, not replace, local finance, procurement, commercial, legal, information governance and organisational approval processes. All projects must continue to follow local governance requirements</w:t>
      </w:r>
      <w:r w:rsidR="00C94851">
        <w:t>.</w:t>
      </w:r>
    </w:p>
    <w:p w14:paraId="1BB6DFD3" w14:textId="77777777" w:rsidR="00122453" w:rsidRPr="00122453" w:rsidRDefault="00122453" w:rsidP="00122453">
      <w:pPr>
        <w:rPr>
          <w:b/>
          <w:bCs/>
        </w:rPr>
      </w:pPr>
      <w:r w:rsidRPr="00122453">
        <w:rPr>
          <w:b/>
          <w:bCs/>
        </w:rPr>
        <w:t>24. Does the guidance apply only to artificial intelligence projects?</w:t>
      </w:r>
    </w:p>
    <w:p w14:paraId="51B56816" w14:textId="5A4E0986" w:rsidR="00122453" w:rsidRPr="00122453" w:rsidRDefault="00122453" w:rsidP="00122453">
      <w:r w:rsidRPr="00122453">
        <w:t xml:space="preserve">No. The principles apply broadly to data-enabled research and innovation partnerships, including research studies, analytics projects, diagnostics development, digital health technologies, service improvement activities, technology validation and AI-related projects. </w:t>
      </w:r>
    </w:p>
    <w:p w14:paraId="237A0484" w14:textId="77777777" w:rsidR="008F6ACA" w:rsidRDefault="008F6ACA"/>
    <w:sectPr w:rsidR="008F6A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53"/>
    <w:rsid w:val="00122453"/>
    <w:rsid w:val="00361F71"/>
    <w:rsid w:val="00497D96"/>
    <w:rsid w:val="00580B72"/>
    <w:rsid w:val="00587AEB"/>
    <w:rsid w:val="00612645"/>
    <w:rsid w:val="008F6ACA"/>
    <w:rsid w:val="00B211C0"/>
    <w:rsid w:val="00C94851"/>
    <w:rsid w:val="00E91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03BDE"/>
  <w15:chartTrackingRefBased/>
  <w15:docId w15:val="{41E5A97B-4265-4035-A0E3-1C9AE119C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2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2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2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2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2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2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2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2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2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2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2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2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2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2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2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2453"/>
    <w:rPr>
      <w:rFonts w:eastAsiaTheme="majorEastAsia" w:cstheme="majorBidi"/>
      <w:color w:val="272727" w:themeColor="text1" w:themeTint="D8"/>
    </w:rPr>
  </w:style>
  <w:style w:type="paragraph" w:styleId="Title">
    <w:name w:val="Title"/>
    <w:basedOn w:val="Normal"/>
    <w:next w:val="Normal"/>
    <w:link w:val="TitleChar"/>
    <w:uiPriority w:val="10"/>
    <w:qFormat/>
    <w:rsid w:val="00122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2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2453"/>
    <w:pPr>
      <w:spacing w:before="160"/>
      <w:jc w:val="center"/>
    </w:pPr>
    <w:rPr>
      <w:i/>
      <w:iCs/>
      <w:color w:val="404040" w:themeColor="text1" w:themeTint="BF"/>
    </w:rPr>
  </w:style>
  <w:style w:type="character" w:customStyle="1" w:styleId="QuoteChar">
    <w:name w:val="Quote Char"/>
    <w:basedOn w:val="DefaultParagraphFont"/>
    <w:link w:val="Quote"/>
    <w:uiPriority w:val="29"/>
    <w:rsid w:val="00122453"/>
    <w:rPr>
      <w:i/>
      <w:iCs/>
      <w:color w:val="404040" w:themeColor="text1" w:themeTint="BF"/>
    </w:rPr>
  </w:style>
  <w:style w:type="paragraph" w:styleId="ListParagraph">
    <w:name w:val="List Paragraph"/>
    <w:basedOn w:val="Normal"/>
    <w:uiPriority w:val="34"/>
    <w:qFormat/>
    <w:rsid w:val="00122453"/>
    <w:pPr>
      <w:ind w:left="720"/>
      <w:contextualSpacing/>
    </w:pPr>
  </w:style>
  <w:style w:type="character" w:styleId="IntenseEmphasis">
    <w:name w:val="Intense Emphasis"/>
    <w:basedOn w:val="DefaultParagraphFont"/>
    <w:uiPriority w:val="21"/>
    <w:qFormat/>
    <w:rsid w:val="00122453"/>
    <w:rPr>
      <w:i/>
      <w:iCs/>
      <w:color w:val="0F4761" w:themeColor="accent1" w:themeShade="BF"/>
    </w:rPr>
  </w:style>
  <w:style w:type="paragraph" w:styleId="IntenseQuote">
    <w:name w:val="Intense Quote"/>
    <w:basedOn w:val="Normal"/>
    <w:next w:val="Normal"/>
    <w:link w:val="IntenseQuoteChar"/>
    <w:uiPriority w:val="30"/>
    <w:qFormat/>
    <w:rsid w:val="00122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2453"/>
    <w:rPr>
      <w:i/>
      <w:iCs/>
      <w:color w:val="0F4761" w:themeColor="accent1" w:themeShade="BF"/>
    </w:rPr>
  </w:style>
  <w:style w:type="character" w:styleId="IntenseReference">
    <w:name w:val="Intense Reference"/>
    <w:basedOn w:val="DefaultParagraphFont"/>
    <w:uiPriority w:val="32"/>
    <w:qFormat/>
    <w:rsid w:val="00122453"/>
    <w:rPr>
      <w:b/>
      <w:bCs/>
      <w:smallCaps/>
      <w:color w:val="0F4761" w:themeColor="accent1" w:themeShade="BF"/>
      <w:spacing w:val="5"/>
    </w:rPr>
  </w:style>
  <w:style w:type="character" w:styleId="Hyperlink">
    <w:name w:val="Hyperlink"/>
    <w:basedOn w:val="DefaultParagraphFont"/>
    <w:uiPriority w:val="99"/>
    <w:unhideWhenUsed/>
    <w:rsid w:val="00122453"/>
    <w:rPr>
      <w:color w:val="467886" w:themeColor="hyperlink"/>
      <w:u w:val="single"/>
    </w:rPr>
  </w:style>
  <w:style w:type="character" w:styleId="UnresolvedMention">
    <w:name w:val="Unresolved Mention"/>
    <w:basedOn w:val="DefaultParagraphFont"/>
    <w:uiPriority w:val="99"/>
    <w:semiHidden/>
    <w:unhideWhenUsed/>
    <w:rsid w:val="001224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890BF50C95CB4C966B9DC412D924E5" ma:contentTypeVersion="10" ma:contentTypeDescription="Create a new document." ma:contentTypeScope="" ma:versionID="6e33e83a951b39cb4485e5ecd802f63a">
  <xsd:schema xmlns:xsd="http://www.w3.org/2001/XMLSchema" xmlns:xs="http://www.w3.org/2001/XMLSchema" xmlns:p="http://schemas.microsoft.com/office/2006/metadata/properties" xmlns:ns2="08b1c211-282c-4c26-afe4-2813af8ba42d" xmlns:ns3="9fd56aec-3e42-4f36-9db8-438df28a4160" targetNamespace="http://schemas.microsoft.com/office/2006/metadata/properties" ma:root="true" ma:fieldsID="36b948e1054e8645d4a95a4969196c79" ns2:_="" ns3:_="">
    <xsd:import namespace="08b1c211-282c-4c26-afe4-2813af8ba42d"/>
    <xsd:import namespace="9fd56aec-3e42-4f36-9db8-438df28a41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1c211-282c-4c26-afe4-2813af8b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8f6a4-3651-4e38-bca4-9953853fd41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56aec-3e42-4f36-9db8-438df28a416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cfdf73-be85-4a9a-8fa9-7072642d5c28}" ma:internalName="TaxCatchAll" ma:showField="CatchAllData" ma:web="9fd56aec-3e42-4f36-9db8-438df28a41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b1c211-282c-4c26-afe4-2813af8ba42d">
      <Terms xmlns="http://schemas.microsoft.com/office/infopath/2007/PartnerControls"/>
    </lcf76f155ced4ddcb4097134ff3c332f>
    <TaxCatchAll xmlns="9fd56aec-3e42-4f36-9db8-438df28a4160" xsi:nil="true"/>
  </documentManagement>
</p:properties>
</file>

<file path=customXml/itemProps1.xml><?xml version="1.0" encoding="utf-8"?>
<ds:datastoreItem xmlns:ds="http://schemas.openxmlformats.org/officeDocument/2006/customXml" ds:itemID="{E32C28DC-DEDD-4E14-B8C7-D4DC9488B31B}"/>
</file>

<file path=customXml/itemProps2.xml><?xml version="1.0" encoding="utf-8"?>
<ds:datastoreItem xmlns:ds="http://schemas.openxmlformats.org/officeDocument/2006/customXml" ds:itemID="{DC56B7A0-0338-43BC-A3A4-B6D4127FCC47}"/>
</file>

<file path=customXml/itemProps3.xml><?xml version="1.0" encoding="utf-8"?>
<ds:datastoreItem xmlns:ds="http://schemas.openxmlformats.org/officeDocument/2006/customXml" ds:itemID="{B26AC73A-DB04-411E-8195-304A012F9342}"/>
</file>

<file path=docProps/app.xml><?xml version="1.0" encoding="utf-8"?>
<Properties xmlns="http://schemas.openxmlformats.org/officeDocument/2006/extended-properties" xmlns:vt="http://schemas.openxmlformats.org/officeDocument/2006/docPropsVTypes">
  <Template>Normal</Template>
  <TotalTime>83</TotalTime>
  <Pages>4</Pages>
  <Words>1205</Words>
  <Characters>7801</Characters>
  <Application>Microsoft Office Word</Application>
  <DocSecurity>0</DocSecurity>
  <Lines>150</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Cole</dc:creator>
  <cp:keywords/>
  <dc:description/>
  <cp:lastModifiedBy>Helen Cole</cp:lastModifiedBy>
  <cp:revision>5</cp:revision>
  <dcterms:created xsi:type="dcterms:W3CDTF">2026-09-29T10:03:00Z</dcterms:created>
  <dcterms:modified xsi:type="dcterms:W3CDTF">2026-09-29T11:26:00Z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0x01010091890BF50C95CB4C966B9DC412D924E5</vt:lpwstr>
  </property>
</Properties>
</file>